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94596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4596E">
        <w:t xml:space="preserve"> Бирюлево </w:t>
      </w:r>
      <w:proofErr w:type="gramStart"/>
      <w:r w:rsidR="0094596E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  <w:bookmarkStart w:id="0" w:name="_GoBack"/>
      <w:bookmarkEnd w:id="0"/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917B09">
        <w:rPr>
          <w:b/>
          <w:sz w:val="28"/>
        </w:rPr>
        <w:t>1</w:t>
      </w:r>
      <w:r w:rsidRPr="00FD3764">
        <w:rPr>
          <w:b/>
          <w:sz w:val="28"/>
        </w:rPr>
        <w:t>2</w:t>
      </w:r>
      <w:r w:rsidR="00917B09">
        <w:rPr>
          <w:b/>
          <w:sz w:val="28"/>
        </w:rPr>
        <w:t>, корп.2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917B09"/>
    <w:rsid w:val="0094596E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